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3AB" w:rsidRPr="008F796B" w:rsidRDefault="009163AB" w:rsidP="009163AB">
      <w:pPr>
        <w:shd w:val="clear" w:color="auto" w:fill="FFFFFF"/>
        <w:spacing w:before="48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05DA7"/>
          <w:kern w:val="36"/>
          <w:sz w:val="45"/>
          <w:szCs w:val="45"/>
          <w:lang w:eastAsia="pl-PL"/>
        </w:rPr>
      </w:pPr>
      <w:r w:rsidRPr="008F796B">
        <w:rPr>
          <w:rFonts w:ascii="Times New Roman" w:eastAsia="Times New Roman" w:hAnsi="Times New Roman" w:cs="Times New Roman"/>
          <w:b/>
          <w:bCs/>
          <w:color w:val="205DA7"/>
          <w:kern w:val="36"/>
          <w:sz w:val="45"/>
          <w:szCs w:val="45"/>
          <w:lang w:eastAsia="pl-PL"/>
        </w:rPr>
        <w:t>Jak w bilansie ująć dotację</w:t>
      </w:r>
    </w:p>
    <w:p w:rsidR="009163AB" w:rsidRDefault="009163AB" w:rsidP="009163A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</w:pPr>
    </w:p>
    <w:p w:rsidR="009163AB" w:rsidRPr="008F796B" w:rsidRDefault="009163AB" w:rsidP="009163A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</w:pPr>
      <w:r w:rsidRPr="008F796B"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  <w:t>Na nasz rachunek bankowy otrzymaliśmy dotację, która w połowie ma sfinansować środek trwały w </w:t>
      </w:r>
      <w:r w:rsidRPr="008F796B">
        <w:rPr>
          <w:rFonts w:ascii="Helvetica" w:eastAsia="Times New Roman" w:hAnsi="Helvetica" w:cs="Helvetica"/>
          <w:b/>
          <w:bCs/>
          <w:color w:val="005EA8"/>
          <w:sz w:val="24"/>
          <w:szCs w:val="24"/>
          <w:u w:val="single"/>
          <w:lang w:eastAsia="pl-PL"/>
        </w:rPr>
        <w:t>budowie</w:t>
      </w:r>
      <w:r w:rsidRPr="008F796B"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  <w:t>. Koniec prac związanych z budową środka trwałego przewidziany jest na marzec 2008 r. Jak w takim razie w bilansie ująć otrzymaną dotację.</w:t>
      </w:r>
    </w:p>
    <w:p w:rsidR="009163AB" w:rsidRDefault="009163AB" w:rsidP="009163AB">
      <w:pP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9163AB" w:rsidRDefault="009163AB" w:rsidP="009163AB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Otrzymane dotacje możemy ująć w księgach na dwa sposoby. Pierwszą metodą jest metoda kapitałowa, kiedy to otrzymane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dotacje</w:t>
      </w:r>
      <w:r>
        <w:rPr>
          <w:rFonts w:ascii="Helvetica" w:hAnsi="Helvetica" w:cs="Helvetica"/>
          <w:color w:val="222222"/>
          <w:sz w:val="20"/>
          <w:szCs w:val="20"/>
        </w:rPr>
        <w:t> zaliczamy do kapitałów (funduszów) własnych. Ujęcie takie możemy zastosować m.in. w spółdzielniach mieszkaniowych lub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uczelniach</w:t>
      </w:r>
      <w:r>
        <w:rPr>
          <w:rFonts w:ascii="Helvetica" w:hAnsi="Helvetica" w:cs="Helvetica"/>
          <w:color w:val="222222"/>
          <w:sz w:val="20"/>
          <w:szCs w:val="20"/>
        </w:rPr>
        <w:t xml:space="preserve"> wyższych. Ujęcie w księgach dotacji na podstawie drugiej metody, metody wynikowej, uzależnione jest od celu, na jaki została przyznana. Do ewidencji otrzymanej dotacji służą </w:t>
      </w:r>
      <w:r w:rsidRPr="0097363B">
        <w:rPr>
          <w:rFonts w:ascii="Helvetica" w:hAnsi="Helvetica" w:cs="Helvetica"/>
          <w:color w:val="C45911" w:themeColor="accent2" w:themeShade="BF"/>
          <w:sz w:val="20"/>
          <w:szCs w:val="20"/>
        </w:rPr>
        <w:t xml:space="preserve">konta 760 „Pozostałe przychody operacyjne” </w:t>
      </w:r>
      <w:r>
        <w:rPr>
          <w:rFonts w:ascii="Helvetica" w:hAnsi="Helvetica" w:cs="Helvetica"/>
          <w:color w:val="222222"/>
          <w:sz w:val="20"/>
          <w:szCs w:val="20"/>
        </w:rPr>
        <w:t xml:space="preserve">lub </w:t>
      </w:r>
      <w:r w:rsidRPr="0097363B">
        <w:rPr>
          <w:rFonts w:ascii="Helvetica" w:hAnsi="Helvetica" w:cs="Helvetica"/>
          <w:color w:val="C45911" w:themeColor="accent2" w:themeShade="BF"/>
          <w:sz w:val="20"/>
          <w:szCs w:val="20"/>
        </w:rPr>
        <w:t>840 „Rozliczenia międzyokresowe przychodów”</w:t>
      </w:r>
      <w:r>
        <w:rPr>
          <w:rFonts w:ascii="Helvetica" w:hAnsi="Helvetica" w:cs="Helvetica"/>
          <w:color w:val="222222"/>
          <w:sz w:val="20"/>
          <w:szCs w:val="20"/>
        </w:rPr>
        <w:t>.</w:t>
      </w:r>
    </w:p>
    <w:p w:rsidR="009163AB" w:rsidRPr="005804D7" w:rsidRDefault="009163AB" w:rsidP="009163AB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C00000"/>
          <w:sz w:val="20"/>
          <w:szCs w:val="20"/>
        </w:rPr>
      </w:pPr>
      <w:r w:rsidRPr="005804D7">
        <w:rPr>
          <w:rFonts w:ascii="Helvetica" w:hAnsi="Helvetica" w:cs="Helvetica"/>
          <w:color w:val="FF0000"/>
          <w:sz w:val="20"/>
          <w:szCs w:val="20"/>
        </w:rPr>
        <w:t>W myśl art. 41 ust. 1 pkt 2 środki pieniężne otrzymane na sfinansowanie nabycia lub wytworzenia środków trwałych, w tym także środków trwałych w </w:t>
      </w:r>
      <w:r w:rsidRPr="005804D7">
        <w:rPr>
          <w:rFonts w:ascii="Helvetica" w:hAnsi="Helvetica" w:cs="Helvetica"/>
          <w:b/>
          <w:bCs/>
          <w:color w:val="FF0000"/>
          <w:sz w:val="20"/>
          <w:szCs w:val="20"/>
          <w:u w:val="single"/>
        </w:rPr>
        <w:t>budowie</w:t>
      </w:r>
      <w:r w:rsidRPr="005804D7">
        <w:rPr>
          <w:rFonts w:ascii="Helvetica" w:hAnsi="Helvetica" w:cs="Helvetica"/>
          <w:color w:val="FF0000"/>
          <w:sz w:val="20"/>
          <w:szCs w:val="20"/>
        </w:rPr>
        <w:t> oraz prac rozwojowych</w:t>
      </w:r>
      <w:r>
        <w:rPr>
          <w:rFonts w:ascii="Helvetica" w:hAnsi="Helvetica" w:cs="Helvetica"/>
          <w:color w:val="222222"/>
          <w:sz w:val="20"/>
          <w:szCs w:val="20"/>
        </w:rPr>
        <w:t>, jeżeli stosownie do innych ustaw nie zwiększają kapitałów (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funduszy</w:t>
      </w:r>
      <w:r>
        <w:rPr>
          <w:rFonts w:ascii="Helvetica" w:hAnsi="Helvetica" w:cs="Helvetica"/>
          <w:color w:val="222222"/>
          <w:sz w:val="20"/>
          <w:szCs w:val="20"/>
        </w:rPr>
        <w:t xml:space="preserve">) własnych, </w:t>
      </w:r>
      <w:r w:rsidRPr="005804D7">
        <w:rPr>
          <w:rFonts w:ascii="Helvetica" w:hAnsi="Helvetica" w:cs="Helvetica"/>
          <w:color w:val="C00000"/>
          <w:sz w:val="20"/>
          <w:szCs w:val="20"/>
        </w:rPr>
        <w:t>zaliczamy do rozliczeń międzyokresowych przychodów.</w:t>
      </w:r>
    </w:p>
    <w:p w:rsidR="009163AB" w:rsidRDefault="009163AB" w:rsidP="009163AB"/>
    <w:p w:rsidR="009163AB" w:rsidRPr="0097363B" w:rsidRDefault="009163AB" w:rsidP="009163AB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C45911" w:themeColor="accent2" w:themeShade="BF"/>
          <w:sz w:val="20"/>
          <w:szCs w:val="20"/>
        </w:rPr>
      </w:pPr>
      <w:r w:rsidRPr="0097363B">
        <w:rPr>
          <w:rFonts w:ascii="Helvetica" w:hAnsi="Helvetica" w:cs="Helvetica"/>
          <w:color w:val="C45911" w:themeColor="accent2" w:themeShade="BF"/>
          <w:sz w:val="20"/>
          <w:szCs w:val="20"/>
        </w:rPr>
        <w:t>Jeżeli więc dotacja otrzymana została na inne cele niż wymienione wyżej, to zaliczamy ją do pozostałych przychodów operacyjnych.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 xml:space="preserve">Z pytania czytelnika wynika, że dotacja dotyczy sfinansowania zakupu środka trwałego, a więc otrzymane środki pieniężne </w:t>
      </w:r>
      <w:r w:rsidRPr="005804D7">
        <w:rPr>
          <w:rFonts w:ascii="Helvetica" w:hAnsi="Helvetica" w:cs="Helvetica"/>
          <w:color w:val="C00000"/>
          <w:sz w:val="20"/>
          <w:szCs w:val="20"/>
        </w:rPr>
        <w:t xml:space="preserve">powinny być zaksięgowane na koncie 840 „Rozliczenia międzyokresowe przychodów”. </w:t>
      </w:r>
      <w:r>
        <w:rPr>
          <w:rFonts w:ascii="Helvetica" w:hAnsi="Helvetica" w:cs="Helvetica"/>
          <w:color w:val="222222"/>
          <w:sz w:val="20"/>
          <w:szCs w:val="20"/>
        </w:rPr>
        <w:t xml:space="preserve">Dopiero, kiedy środek trwały będzie przyjęty do użytkowania, kwota dotacji będzie miała wpływ na wynik finansowy. </w:t>
      </w:r>
      <w:r w:rsidRPr="005804D7">
        <w:rPr>
          <w:rFonts w:ascii="Helvetica" w:hAnsi="Helvetica" w:cs="Helvetica"/>
          <w:color w:val="C00000"/>
          <w:sz w:val="20"/>
          <w:szCs w:val="20"/>
        </w:rPr>
        <w:t>Równolegle do odpisów amortyzacyjnych kwota dotacji będzie z 840 przeksięgowywana na konta 760.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 w:rsidRPr="005804D7">
        <w:rPr>
          <w:rFonts w:ascii="Helvetica" w:hAnsi="Helvetica" w:cs="Helvetica"/>
          <w:color w:val="222222"/>
          <w:sz w:val="20"/>
          <w:szCs w:val="20"/>
          <w:highlight w:val="yellow"/>
        </w:rPr>
        <w:t>Wynika to z art. 41 ust. 1 pkt 2 zdanie drugie, zgodnie z którym kwoty zaliczone do rozliczeń międzyokresowych przychodów zwiększają stopniowo pozostałe przychody operacyjne, równolegle do odpisów amortyzacyjnych lub umorzeniowych</w:t>
      </w:r>
      <w:r>
        <w:rPr>
          <w:rFonts w:ascii="Helvetica" w:hAnsi="Helvetica" w:cs="Helvetica"/>
          <w:color w:val="222222"/>
          <w:sz w:val="20"/>
          <w:szCs w:val="20"/>
        </w:rPr>
        <w:t>.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Należy zwrócić uwagę, że dotacja pokryje tylko połowę wartości środka trwałego. W związku z powyższym, na konto pozostałych przychodów operacyjnych powinna trafić wartość, która odpowiada wielkości otrzymanej dotacji. W naszym przypadku będzie to połowa odpisu amortyzacyjnego.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Ujęcie dotacji w bilansie również uzależnione od jej przeznaczenia. Jeżeli więc dotacja dotyczy środka trwałego w budowie, wykażemy ją w poz. B. IV. 2 pasywów „Inne rozliczenia międzyokresowe przychodów”. Jeżeli dotacja jest przeznaczona na inne cele, to będzie to miało swoje odzwierciedlenie w rachunku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zysków</w:t>
      </w:r>
      <w:r>
        <w:rPr>
          <w:rFonts w:ascii="Helvetica" w:hAnsi="Helvetica" w:cs="Helvetica"/>
          <w:color w:val="222222"/>
          <w:sz w:val="20"/>
          <w:szCs w:val="20"/>
        </w:rPr>
        <w:t> i strat i poprzez wynik trafi do bilansu poz. A. VIII. „Zysk (strata) netto”.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Za przykład może posłużyć pytanie czytelnika. Spółka otrzymała dotację w wysokości 5 tys. zł, co stanowi 50 proc. wartości środka trwałego. Do dnia bilansowego nie przyjęto środka trwałego do używania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 w:rsidRPr="00D9566F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Wpływ dotacji na rachunek bankowy spółki zostanie zadekretowany: strona </w:t>
      </w:r>
      <w:proofErr w:type="spellStart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>Wn</w:t>
      </w:r>
      <w:proofErr w:type="spellEnd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 xml:space="preserve"> konta 130 „Rachunek bieżący”</w:t>
      </w:r>
      <w:r w:rsidRPr="00D9566F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, strona </w:t>
      </w:r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>Ma konta 840 „Rozliczenia międzyokresowe przychodów”</w:t>
      </w:r>
      <w:r w:rsidRPr="00D9566F">
        <w:rPr>
          <w:rFonts w:ascii="Helvetica" w:hAnsi="Helvetica" w:cs="Helvetica"/>
          <w:color w:val="222222"/>
          <w:sz w:val="20"/>
          <w:szCs w:val="20"/>
          <w:highlight w:val="yellow"/>
        </w:rPr>
        <w:t>.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Do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używania</w:t>
      </w:r>
      <w:r>
        <w:rPr>
          <w:rFonts w:ascii="Helvetica" w:hAnsi="Helvetica" w:cs="Helvetica"/>
          <w:color w:val="222222"/>
          <w:sz w:val="20"/>
          <w:szCs w:val="20"/>
        </w:rPr>
        <w:t> może zostać przyjęty środek trwały częściowo sfinansowany z dotacji. Środek trwały jest amortyzowany metodą liniową przy zastosowaniu stawki 30 proc.</w:t>
      </w:r>
    </w:p>
    <w:p w:rsidR="009163AB" w:rsidRDefault="009163AB" w:rsidP="009163AB"/>
    <w:p w:rsidR="009163AB" w:rsidRDefault="009163AB" w:rsidP="009163AB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 xml:space="preserve">Przyjęcie środka trwałego do używania zostanie zaksięgowane: strona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Wn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 konta 010 „Środki trwałe”, strona Ma konta 300 „ Rozliczenie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zakupu</w:t>
      </w:r>
      <w:r>
        <w:rPr>
          <w:rFonts w:ascii="Helvetica" w:hAnsi="Helvetica" w:cs="Helvetica"/>
          <w:color w:val="222222"/>
          <w:sz w:val="20"/>
          <w:szCs w:val="20"/>
        </w:rPr>
        <w:t xml:space="preserve">” 10 tys. Natomiast odpisy amortyzacyjne za 12 miesięcy: strona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Wn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 konta 408 „ Amortyzacja”, strona Ma konta 070 „Odpisy umorzeniowe” 3 tys. (10 tys. x 30 proc.). </w:t>
      </w:r>
    </w:p>
    <w:p w:rsidR="009163AB" w:rsidRDefault="009163AB" w:rsidP="009163AB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 w:rsidRPr="0097363B">
        <w:rPr>
          <w:rFonts w:ascii="Helvetica" w:hAnsi="Helvetica" w:cs="Helvetica"/>
          <w:color w:val="222222"/>
          <w:sz w:val="20"/>
          <w:szCs w:val="20"/>
          <w:highlight w:val="yellow"/>
        </w:rPr>
        <w:lastRenderedPageBreak/>
        <w:t xml:space="preserve">Równolegle do odpisów umorzeniowych zalicza się do pozostałych przychodów operacyjnych kwoty dotacji: strona </w:t>
      </w:r>
      <w:proofErr w:type="spellStart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>Wn</w:t>
      </w:r>
      <w:proofErr w:type="spellEnd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 xml:space="preserve"> konta 840 „ Rozliczenia międzyokresowe przychodów”</w:t>
      </w:r>
      <w:r w:rsidRPr="0097363B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, strona </w:t>
      </w:r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 xml:space="preserve">Ma konta 760 „Pozostałe przychody operacyjne” </w:t>
      </w:r>
      <w:r w:rsidRPr="0097363B">
        <w:rPr>
          <w:rFonts w:ascii="Helvetica" w:hAnsi="Helvetica" w:cs="Helvetica"/>
          <w:color w:val="222222"/>
          <w:sz w:val="20"/>
          <w:szCs w:val="20"/>
          <w:highlight w:val="yellow"/>
        </w:rPr>
        <w:t>1500 (3 tys. x 50 proc.).</w:t>
      </w:r>
    </w:p>
    <w:p w:rsidR="009163AB" w:rsidRDefault="009163AB" w:rsidP="009163AB">
      <w:pPr>
        <w:pStyle w:val="autor"/>
        <w:shd w:val="clear" w:color="auto" w:fill="FFFFFF"/>
        <w:spacing w:before="0" w:beforeAutospacing="0" w:after="600" w:afterAutospacing="0"/>
        <w:jc w:val="right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Robert Kaczorowski</w:t>
      </w:r>
    </w:p>
    <w:p w:rsidR="009163AB" w:rsidRDefault="009163AB" w:rsidP="009163AB">
      <w:pPr>
        <w:pStyle w:val="autor-nota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 xml:space="preserve">ekspert z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R&amp;ouml;dl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 &amp;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amp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>; Partner</w:t>
      </w:r>
    </w:p>
    <w:p w:rsidR="009163AB" w:rsidRDefault="009163AB" w:rsidP="009163AB">
      <w:pPr>
        <w:pStyle w:val="podstawa-tyt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PODSTAWA PRAWA</w:t>
      </w:r>
    </w:p>
    <w:p w:rsidR="009163AB" w:rsidRDefault="009163AB" w:rsidP="009163AB">
      <w:pPr>
        <w:pStyle w:val="podstawa-txt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• Art. 41 ust. 1 pkt 2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ustawy</w:t>
      </w:r>
      <w:r>
        <w:rPr>
          <w:rFonts w:ascii="Helvetica" w:hAnsi="Helvetica" w:cs="Helvetica"/>
          <w:color w:val="222222"/>
          <w:sz w:val="20"/>
          <w:szCs w:val="20"/>
        </w:rPr>
        <w:t> z 29 września 1994 r. o rachunkowości (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t.j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. Dz.U. z 2002 r. nr 76, poz. 694 z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późn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>. zm.).</w:t>
      </w:r>
    </w:p>
    <w:p w:rsidR="0020041B" w:rsidRDefault="0020041B">
      <w:bookmarkStart w:id="0" w:name="_GoBack"/>
      <w:bookmarkEnd w:id="0"/>
    </w:p>
    <w:sectPr w:rsidR="00200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AB"/>
    <w:rsid w:val="0020041B"/>
    <w:rsid w:val="0091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0BCC39-91B4-428A-8B72-2A1DD9126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63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sc">
    <w:name w:val="tresc"/>
    <w:basedOn w:val="Normalny"/>
    <w:rsid w:val="00916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utor">
    <w:name w:val="autor"/>
    <w:basedOn w:val="Normalny"/>
    <w:rsid w:val="00916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utor-nota">
    <w:name w:val="autor-nota"/>
    <w:basedOn w:val="Normalny"/>
    <w:rsid w:val="00916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stawa-tyt">
    <w:name w:val="podstawa-tyt"/>
    <w:basedOn w:val="Normalny"/>
    <w:rsid w:val="00916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stawa-txt">
    <w:name w:val="podstawa-txt"/>
    <w:basedOn w:val="Normalny"/>
    <w:rsid w:val="00916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Karlik</dc:creator>
  <cp:keywords/>
  <dc:description/>
  <cp:lastModifiedBy>Kazimierz Karlik</cp:lastModifiedBy>
  <cp:revision>1</cp:revision>
  <dcterms:created xsi:type="dcterms:W3CDTF">2017-08-22T06:01:00Z</dcterms:created>
  <dcterms:modified xsi:type="dcterms:W3CDTF">2017-08-22T06:05:00Z</dcterms:modified>
</cp:coreProperties>
</file>